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68" w:rsidRDefault="00012968" w:rsidP="00012968">
      <w:pPr>
        <w:rPr>
          <w:b/>
          <w:sz w:val="24"/>
          <w:szCs w:val="24"/>
        </w:rPr>
      </w:pPr>
      <w:r w:rsidRPr="00F14523">
        <w:rPr>
          <w:b/>
          <w:sz w:val="24"/>
          <w:szCs w:val="24"/>
        </w:rPr>
        <w:t>ΠΑΡΑΡΤΗΜΑ</w:t>
      </w:r>
      <w:r w:rsidRPr="004E46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 </w:t>
      </w:r>
      <w:r w:rsidR="00441E91">
        <w:rPr>
          <w:b/>
          <w:sz w:val="24"/>
          <w:szCs w:val="24"/>
        </w:rPr>
        <w:t>ΛΑΤΙΝΙΚΑ (</w:t>
      </w:r>
      <w:r w:rsidR="00441E91" w:rsidRPr="00693F13">
        <w:rPr>
          <w:b/>
          <w:color w:val="FF0000"/>
          <w:sz w:val="24"/>
          <w:szCs w:val="24"/>
        </w:rPr>
        <w:t>ΜΑΘΗΜΑ ΕΠΙΛΟΓΗΣ</w:t>
      </w:r>
      <w:r w:rsidR="00441E91">
        <w:rPr>
          <w:b/>
          <w:sz w:val="24"/>
          <w:szCs w:val="24"/>
        </w:rPr>
        <w:t>)</w:t>
      </w:r>
    </w:p>
    <w:p w:rsidR="00261803" w:rsidRPr="001569BF" w:rsidRDefault="00B17B8F" w:rsidP="001569BF">
      <w:pPr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Σύγκριση της </w:t>
      </w:r>
      <w:r w:rsidRPr="00870247">
        <w:rPr>
          <w:rFonts w:eastAsia="Calibri" w:cs="Times New Roman"/>
          <w:b/>
          <w:bCs/>
          <w:sz w:val="24"/>
          <w:szCs w:val="24"/>
        </w:rPr>
        <w:t>Διδακτέα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Pr="00870247">
        <w:rPr>
          <w:rFonts w:eastAsia="Calibri" w:cs="Times New Roman"/>
          <w:b/>
          <w:bCs/>
          <w:sz w:val="24"/>
          <w:szCs w:val="24"/>
        </w:rPr>
        <w:t>-εξεταστέα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Pr="00870247">
        <w:rPr>
          <w:rFonts w:eastAsia="Calibri" w:cs="Times New Roman"/>
          <w:b/>
          <w:bCs/>
          <w:sz w:val="24"/>
          <w:szCs w:val="24"/>
        </w:rPr>
        <w:t xml:space="preserve"> ύλη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Pr="00870247">
        <w:rPr>
          <w:rFonts w:eastAsia="Calibri" w:cs="Times New Roman"/>
          <w:b/>
          <w:bCs/>
          <w:sz w:val="24"/>
          <w:szCs w:val="24"/>
        </w:rPr>
        <w:t xml:space="preserve"> του </w:t>
      </w:r>
      <w:r w:rsidRPr="00870247">
        <w:rPr>
          <w:rFonts w:eastAsia="Calibri" w:cs="Times New Roman"/>
          <w:b/>
          <w:bCs/>
          <w:sz w:val="24"/>
          <w:szCs w:val="24"/>
          <w:u w:val="single"/>
        </w:rPr>
        <w:t xml:space="preserve">πανελλαδικώς εξεταζόμενου </w:t>
      </w:r>
      <w:r w:rsidRPr="000A2B84">
        <w:rPr>
          <w:rFonts w:eastAsia="Calibri" w:cs="Times New Roman"/>
          <w:b/>
          <w:bCs/>
          <w:sz w:val="24"/>
          <w:szCs w:val="24"/>
          <w:u w:val="single"/>
        </w:rPr>
        <w:t xml:space="preserve">μαθήματος </w:t>
      </w:r>
      <w:r w:rsidR="00AF62B3">
        <w:rPr>
          <w:b/>
          <w:sz w:val="24"/>
          <w:szCs w:val="24"/>
          <w:u w:val="single"/>
        </w:rPr>
        <w:t>«</w:t>
      </w:r>
      <w:r w:rsidR="00441E91">
        <w:rPr>
          <w:b/>
          <w:sz w:val="24"/>
          <w:szCs w:val="24"/>
          <w:u w:val="single"/>
        </w:rPr>
        <w:t>ΛΑΤΙΝΙΚΑ</w:t>
      </w:r>
      <w:r w:rsidR="00AF62B3">
        <w:rPr>
          <w:b/>
          <w:sz w:val="24"/>
          <w:szCs w:val="24"/>
          <w:u w:val="single"/>
        </w:rPr>
        <w:t>»</w:t>
      </w:r>
      <w:r w:rsidRPr="00870247">
        <w:rPr>
          <w:rFonts w:eastAsia="Calibri" w:cs="Times New Roman"/>
          <w:b/>
          <w:bCs/>
          <w:sz w:val="24"/>
          <w:szCs w:val="24"/>
          <w:u w:val="single"/>
        </w:rPr>
        <w:t>,</w:t>
      </w:r>
      <w:r w:rsidRPr="00870247">
        <w:rPr>
          <w:rFonts w:eastAsia="Calibri" w:cs="Times New Roman"/>
          <w:b/>
          <w:bCs/>
          <w:sz w:val="24"/>
          <w:szCs w:val="24"/>
        </w:rPr>
        <w:t xml:space="preserve"> της Γ΄ τάξης ημερήσιου Γενικού Λυκείου, </w:t>
      </w:r>
      <w:r>
        <w:rPr>
          <w:rFonts w:eastAsia="Calibri" w:cs="Times New Roman"/>
          <w:b/>
          <w:bCs/>
          <w:sz w:val="24"/>
          <w:szCs w:val="24"/>
        </w:rPr>
        <w:t xml:space="preserve">μεταξύ του σχολικού έτους 2018-2019 και 2019-2020. </w:t>
      </w:r>
    </w:p>
    <w:tbl>
      <w:tblPr>
        <w:tblStyle w:val="a5"/>
        <w:tblW w:w="0" w:type="auto"/>
        <w:tblLook w:val="04A0"/>
      </w:tblPr>
      <w:tblGrid>
        <w:gridCol w:w="8522"/>
      </w:tblGrid>
      <w:tr w:rsidR="001569BF" w:rsidTr="001569BF">
        <w:tc>
          <w:tcPr>
            <w:tcW w:w="8522" w:type="dxa"/>
          </w:tcPr>
          <w:p w:rsidR="001569BF" w:rsidRDefault="001569BF" w:rsidP="001569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569BF" w:rsidRPr="00811951" w:rsidRDefault="001569BF" w:rsidP="001569BF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11951">
              <w:rPr>
                <w:b/>
                <w:color w:val="000000" w:themeColor="text1"/>
                <w:sz w:val="20"/>
                <w:szCs w:val="20"/>
              </w:rPr>
              <w:t>Κ</w:t>
            </w:r>
            <w:r w:rsidRPr="007523C2">
              <w:rPr>
                <w:b/>
                <w:color w:val="000000" w:themeColor="text1"/>
                <w:sz w:val="20"/>
                <w:szCs w:val="20"/>
                <w:u w:val="single"/>
              </w:rPr>
              <w:t>ΟΙΝΗ</w:t>
            </w:r>
            <w:r w:rsidRPr="00811951">
              <w:rPr>
                <w:b/>
                <w:color w:val="000000" w:themeColor="text1"/>
                <w:sz w:val="20"/>
                <w:szCs w:val="20"/>
              </w:rPr>
              <w:t xml:space="preserve"> ΥΛΗ ΚΑΙ ΤΟ 2018-19 ΚΑΙ ΤΟ 2019-20</w:t>
            </w:r>
          </w:p>
          <w:p w:rsidR="001569BF" w:rsidRPr="00811951" w:rsidRDefault="001569BF" w:rsidP="001569BF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FF0000"/>
                <w:sz w:val="20"/>
                <w:szCs w:val="20"/>
              </w:rPr>
            </w:pPr>
            <w:r w:rsidRPr="00811951">
              <w:rPr>
                <w:b/>
                <w:color w:val="FF0000"/>
                <w:sz w:val="20"/>
                <w:szCs w:val="20"/>
              </w:rPr>
              <w:t xml:space="preserve">ΥΠΑΡΧΕΙ ΣΤΗΝ ΥΛΗ ΤΟΥ 2018-29 ΚΑΙ </w:t>
            </w:r>
            <w:r w:rsidRPr="00C60577">
              <w:rPr>
                <w:b/>
                <w:color w:val="FF0000"/>
                <w:sz w:val="20"/>
                <w:szCs w:val="20"/>
                <w:u w:val="single"/>
              </w:rPr>
              <w:t>ΔΕΝ ΣΥΜΠΕΡΙΕΛΗΦΘΗ</w:t>
            </w:r>
            <w:r w:rsidRPr="00811951">
              <w:rPr>
                <w:b/>
                <w:color w:val="FF0000"/>
                <w:sz w:val="20"/>
                <w:szCs w:val="20"/>
              </w:rPr>
              <w:t xml:space="preserve"> ΣΤΗΝ ΥΛΗ ΤΟΥ 2019-20</w:t>
            </w:r>
          </w:p>
          <w:p w:rsidR="001569BF" w:rsidRPr="001569BF" w:rsidRDefault="001569BF" w:rsidP="001569BF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76923C" w:themeColor="accent3" w:themeShade="BF"/>
                <w:sz w:val="20"/>
                <w:szCs w:val="20"/>
              </w:rPr>
            </w:pPr>
            <w:r w:rsidRPr="00C60577">
              <w:rPr>
                <w:b/>
                <w:color w:val="76923C" w:themeColor="accent3" w:themeShade="BF"/>
                <w:sz w:val="20"/>
                <w:szCs w:val="20"/>
                <w:u w:val="single"/>
              </w:rPr>
              <w:t>ΝΕΑ</w:t>
            </w:r>
            <w:r>
              <w:rPr>
                <w:b/>
                <w:color w:val="76923C" w:themeColor="accent3" w:themeShade="BF"/>
                <w:sz w:val="20"/>
                <w:szCs w:val="20"/>
              </w:rPr>
              <w:t xml:space="preserve"> ΥΛΗ ΤΟ 2019-20</w:t>
            </w:r>
          </w:p>
          <w:p w:rsidR="001569BF" w:rsidRDefault="001569BF" w:rsidP="001569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1569BF" w:rsidRPr="00261803" w:rsidRDefault="001569BF" w:rsidP="00261803">
      <w:pPr>
        <w:jc w:val="both"/>
        <w:rPr>
          <w:rFonts w:eastAsia="Calibri" w:cs="Times New Roman"/>
          <w:bCs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219"/>
        <w:gridCol w:w="4303"/>
      </w:tblGrid>
      <w:tr w:rsidR="001569BF" w:rsidRPr="00A77ABC" w:rsidTr="00441E91">
        <w:tc>
          <w:tcPr>
            <w:tcW w:w="4219" w:type="dxa"/>
          </w:tcPr>
          <w:p w:rsidR="001569BF" w:rsidRPr="00A77ABC" w:rsidRDefault="001569BF" w:rsidP="00E13A28">
            <w:pPr>
              <w:rPr>
                <w:b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ΒΙΒΛΙΑ 2018-19</w:t>
            </w:r>
          </w:p>
        </w:tc>
        <w:tc>
          <w:tcPr>
            <w:tcW w:w="4303" w:type="dxa"/>
          </w:tcPr>
          <w:p w:rsidR="001569BF" w:rsidRPr="00E13A28" w:rsidRDefault="001569BF" w:rsidP="00E13A28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ΒΙΒΛΙΑ 2019-20</w:t>
            </w:r>
          </w:p>
        </w:tc>
      </w:tr>
      <w:tr w:rsidR="00261803" w:rsidRPr="00A77ABC" w:rsidTr="00441E91">
        <w:tc>
          <w:tcPr>
            <w:tcW w:w="4219" w:type="dxa"/>
          </w:tcPr>
          <w:p w:rsidR="00261803" w:rsidRPr="00A77ABC" w:rsidRDefault="00E13A28" w:rsidP="0026180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Λατινικά </w:t>
            </w:r>
            <w:r w:rsidRPr="00026F0D">
              <w:rPr>
                <w:rFonts w:eastAsia="Calibri" w:cs="Times New Roman"/>
                <w:sz w:val="24"/>
                <w:szCs w:val="24"/>
              </w:rPr>
              <w:t xml:space="preserve">των Μ. Πασχάλη και Γ. </w:t>
            </w:r>
            <w:proofErr w:type="spellStart"/>
            <w:r w:rsidRPr="00026F0D">
              <w:rPr>
                <w:rFonts w:eastAsia="Calibri" w:cs="Times New Roman"/>
                <w:sz w:val="24"/>
                <w:szCs w:val="24"/>
              </w:rPr>
              <w:t>Σαββαντίδη</w:t>
            </w:r>
            <w:proofErr w:type="spellEnd"/>
            <w:r w:rsidRPr="00026F0D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(δύο βιβλία)</w:t>
            </w:r>
          </w:p>
        </w:tc>
        <w:tc>
          <w:tcPr>
            <w:tcW w:w="4303" w:type="dxa"/>
          </w:tcPr>
          <w:p w:rsidR="00261803" w:rsidRPr="00A77ABC" w:rsidRDefault="00E13A28" w:rsidP="00441E91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Λατινικά </w:t>
            </w:r>
            <w:r w:rsidRPr="00026F0D">
              <w:rPr>
                <w:rFonts w:eastAsia="Calibri" w:cs="Times New Roman"/>
                <w:sz w:val="24"/>
                <w:szCs w:val="24"/>
              </w:rPr>
              <w:t xml:space="preserve">των Μ. Πασχάλη και Γ. </w:t>
            </w:r>
            <w:proofErr w:type="spellStart"/>
            <w:r w:rsidRPr="00026F0D">
              <w:rPr>
                <w:rFonts w:eastAsia="Calibri" w:cs="Times New Roman"/>
                <w:sz w:val="24"/>
                <w:szCs w:val="24"/>
              </w:rPr>
              <w:t>Σαββαντίδη</w:t>
            </w:r>
            <w:proofErr w:type="spellEnd"/>
            <w:r w:rsidRPr="00026F0D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(δύο βιβλία)</w:t>
            </w:r>
          </w:p>
        </w:tc>
      </w:tr>
    </w:tbl>
    <w:p w:rsidR="00310085" w:rsidRDefault="00310085" w:rsidP="00310085">
      <w:pPr>
        <w:jc w:val="both"/>
        <w:rPr>
          <w:rFonts w:eastAsia="Calibri" w:cs="Times New Roman"/>
          <w:bCs/>
          <w:sz w:val="24"/>
          <w:szCs w:val="24"/>
        </w:rPr>
      </w:pPr>
    </w:p>
    <w:tbl>
      <w:tblPr>
        <w:tblStyle w:val="a5"/>
        <w:tblW w:w="8472" w:type="dxa"/>
        <w:tblLook w:val="04A0"/>
      </w:tblPr>
      <w:tblGrid>
        <w:gridCol w:w="4219"/>
        <w:gridCol w:w="4253"/>
      </w:tblGrid>
      <w:tr w:rsidR="001569BF" w:rsidTr="00E13A28">
        <w:trPr>
          <w:trHeight w:val="810"/>
        </w:trPr>
        <w:tc>
          <w:tcPr>
            <w:tcW w:w="4219" w:type="dxa"/>
          </w:tcPr>
          <w:p w:rsidR="001569BF" w:rsidRPr="00A77ABC" w:rsidRDefault="001569BF" w:rsidP="001569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2018-19</w:t>
            </w:r>
          </w:p>
          <w:p w:rsidR="001569BF" w:rsidRPr="00AD22AF" w:rsidRDefault="001569BF" w:rsidP="001052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 </w:t>
            </w:r>
            <w:r w:rsidR="00441E91">
              <w:rPr>
                <w:b/>
                <w:color w:val="FF0000"/>
                <w:sz w:val="32"/>
                <w:szCs w:val="32"/>
              </w:rPr>
              <w:t>3</w:t>
            </w:r>
            <w:bookmarkStart w:id="0" w:name="_GoBack"/>
            <w:bookmarkEnd w:id="0"/>
            <w:r w:rsidR="00441E91" w:rsidRPr="001052D0">
              <w:rPr>
                <w:b/>
                <w:color w:val="FF0000"/>
              </w:rPr>
              <w:t>Π</w:t>
            </w:r>
          </w:p>
        </w:tc>
        <w:tc>
          <w:tcPr>
            <w:tcW w:w="4253" w:type="dxa"/>
          </w:tcPr>
          <w:p w:rsidR="001569BF" w:rsidRPr="00AD22AF" w:rsidRDefault="001569BF" w:rsidP="001569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2019-20</w:t>
            </w:r>
          </w:p>
          <w:p w:rsidR="001569BF" w:rsidRPr="00C3108C" w:rsidRDefault="001569BF" w:rsidP="00441E91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</w:t>
            </w:r>
            <w:r w:rsidR="00441E91">
              <w:rPr>
                <w:b/>
                <w:color w:val="FF0000"/>
                <w:sz w:val="32"/>
                <w:szCs w:val="32"/>
              </w:rPr>
              <w:t xml:space="preserve">2 </w:t>
            </w:r>
            <w:r w:rsidR="00441E91" w:rsidRPr="00441E91">
              <w:rPr>
                <w:b/>
                <w:color w:val="FF0000"/>
              </w:rPr>
              <w:t>ΕΠΙΛΟΓΗΣ</w:t>
            </w:r>
          </w:p>
        </w:tc>
      </w:tr>
      <w:tr w:rsidR="001569BF" w:rsidTr="00E13A28">
        <w:tc>
          <w:tcPr>
            <w:tcW w:w="4219" w:type="dxa"/>
            <w:shd w:val="clear" w:color="auto" w:fill="DBE5F1" w:themeFill="accent1" w:themeFillTint="33"/>
          </w:tcPr>
          <w:p w:rsidR="001569BF" w:rsidRPr="00A77ABC" w:rsidRDefault="00E13A28" w:rsidP="001569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13A28">
              <w:rPr>
                <w:rFonts w:eastAsia="Calibri" w:cs="Times New Roman"/>
                <w:b/>
                <w:sz w:val="24"/>
                <w:szCs w:val="24"/>
              </w:rPr>
              <w:t>Από το βιβλίο:</w:t>
            </w:r>
            <w:r>
              <w:rPr>
                <w:rFonts w:eastAsia="Calibri" w:cs="Times New Roman"/>
                <w:sz w:val="24"/>
                <w:szCs w:val="24"/>
              </w:rPr>
              <w:t xml:space="preserve"> Λατινικά </w:t>
            </w:r>
            <w:r w:rsidRPr="00026F0D">
              <w:rPr>
                <w:rFonts w:eastAsia="Calibri" w:cs="Times New Roman"/>
                <w:sz w:val="24"/>
                <w:szCs w:val="24"/>
              </w:rPr>
              <w:t xml:space="preserve">των Μ. Πασχάλη και Γ. </w:t>
            </w:r>
            <w:proofErr w:type="spellStart"/>
            <w:r w:rsidRPr="00026F0D">
              <w:rPr>
                <w:rFonts w:eastAsia="Calibri" w:cs="Times New Roman"/>
                <w:sz w:val="24"/>
                <w:szCs w:val="24"/>
              </w:rPr>
              <w:t>Σαββαντίδη</w:t>
            </w:r>
            <w:proofErr w:type="spellEnd"/>
            <w:r w:rsidRPr="00026F0D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(δύο βιβλία)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:rsidR="001569BF" w:rsidRPr="00A77ABC" w:rsidRDefault="00E13A28" w:rsidP="00E13A28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13A28">
              <w:rPr>
                <w:rFonts w:eastAsia="Calibri" w:cs="Times New Roman"/>
                <w:b/>
                <w:sz w:val="24"/>
                <w:szCs w:val="24"/>
              </w:rPr>
              <w:t>Από το βιβλίο:</w:t>
            </w:r>
            <w:r>
              <w:rPr>
                <w:rFonts w:eastAsia="Calibri" w:cs="Times New Roman"/>
                <w:sz w:val="24"/>
                <w:szCs w:val="24"/>
              </w:rPr>
              <w:t xml:space="preserve"> Λατινικά </w:t>
            </w:r>
            <w:r w:rsidRPr="00026F0D">
              <w:rPr>
                <w:rFonts w:eastAsia="Calibri" w:cs="Times New Roman"/>
                <w:sz w:val="24"/>
                <w:szCs w:val="24"/>
              </w:rPr>
              <w:t xml:space="preserve">των Μ. Πασχάλη και Γ. </w:t>
            </w:r>
            <w:proofErr w:type="spellStart"/>
            <w:r w:rsidRPr="00026F0D">
              <w:rPr>
                <w:rFonts w:eastAsia="Calibri" w:cs="Times New Roman"/>
                <w:sz w:val="24"/>
                <w:szCs w:val="24"/>
              </w:rPr>
              <w:t>Σαββαντίδη</w:t>
            </w:r>
            <w:proofErr w:type="spellEnd"/>
            <w:r w:rsidRPr="00026F0D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(δύο βιβλία)</w:t>
            </w:r>
          </w:p>
        </w:tc>
      </w:tr>
      <w:tr w:rsidR="00E13A28" w:rsidTr="00E13A28">
        <w:tc>
          <w:tcPr>
            <w:tcW w:w="4219" w:type="dxa"/>
          </w:tcPr>
          <w:p w:rsidR="00E13A28" w:rsidRPr="00026F0D" w:rsidRDefault="00E13A28" w:rsidP="00E13A28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1"/>
              <w:gridCol w:w="2666"/>
            </w:tblGrid>
            <w:tr w:rsidR="00E13A28" w:rsidRPr="00026F0D" w:rsidTr="0037032E">
              <w:trPr>
                <w:trHeight w:val="56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b/>
                      <w:bCs/>
                      <w:sz w:val="24"/>
                      <w:szCs w:val="24"/>
                    </w:rPr>
                    <w:t>ΚΕΙΜΕΝΑ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b/>
                      <w:bCs/>
                      <w:sz w:val="24"/>
                      <w:szCs w:val="24"/>
                    </w:rPr>
                    <w:t>ΓΡΑΜΜΑΤΙΚΗ &amp; ΣΥΝΤΑΚΤΙΚΟ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Κειμ.3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των κειμένων 1, 2, 3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Κειμ.5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των κειμένων 4, 5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Κειμ.6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κειμένου 6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Κειμ.7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κειμένου 7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Κειμ.11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 κειμένων 8, 9, 10, γραμματική-συντακτικό κειμένου 11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Κειμ.13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 κειμένου 12, γραμματική-συντακτικό κειμένου 13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Κειμ.14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κειμένου 14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Κειμ.15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 xml:space="preserve">Γραμματική-συντακτικό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κειμένου 15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Κειμ.20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Γραμματική κειμένου 16, γραμματική-συντακτικό κειμένων 17, 18 (εκτός από την παράγραφο 5 των παρατηρήσεων του κειμένου 18, δηλαδή την κλίση του ουσιαστικού </w:t>
                  </w:r>
                  <w:proofErr w:type="spellStart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bos</w:t>
                  </w:r>
                  <w:proofErr w:type="spellEnd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) </w:t>
                  </w:r>
                </w:p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Γραμματική-συντακτικό κειμένων 19, 20 (Επισήμανση: στην υποθετική-παραβολική πρόταση του κειμένου 20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quasi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moriturum</w:t>
                  </w:r>
                  <w:proofErr w:type="spellEnd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 να μη γίνει συντακτική προσέγγιση)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Κειμ.21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κειμένου 21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Κειμ.24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 κειμένου 22, γραμματική-συντακτικό κειμένων 23, 24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Κειμ.25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κειμένου 25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Κειμ.27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κειμένων 26, 27 [εκτός από την παράγραφο 4 των παρατηρήσεων του κειμένου 27 (αναφορική πρόταση σε πλάγιο λόγο)]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Κειμ.29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κειμένου 28, συντακτικό κειμένου 29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Κειμ.31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κειμένων 30, 31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Κειμ.34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 &amp; συντακτικό κειμένων 32, 33, 34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Κειμ.36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Συντακτικό κειμένων 35, 36 και 49 (μόνο ο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προσδιορισμός του σκοπού)</w:t>
                  </w:r>
                </w:p>
                <w:p w:rsidR="00E13A28" w:rsidRPr="00026F0D" w:rsidRDefault="00E13A28" w:rsidP="0037032E">
                  <w:pPr>
                    <w:spacing w:after="0"/>
                    <w:jc w:val="both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b/>
                      <w:sz w:val="24"/>
                      <w:szCs w:val="24"/>
                      <w:u w:val="single"/>
                    </w:rPr>
                    <w:t>Επισήμανση: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Από τις παρατηρήσεις του κειμένου 49 διδάσκεται μόνο η ανακεφαλαίωση των προσδιορισμών του σκοπού. Η ύλη αφορά τις πέντε (5) αριθμητικώς αναφερόμενες στο σχολικό βιβλίο περιπτώσεις σκοπού μετά τα ρήματα κινήσεως σημαντικά (1. τελική πρόταση, 2. αναφορική-τελική πρόταση, 3. σουπίνο σε -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um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4. </w:t>
                  </w:r>
                  <w:proofErr w:type="spellStart"/>
                  <w:proofErr w:type="gramStart"/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causa</w:t>
                  </w:r>
                  <w:proofErr w:type="spellEnd"/>
                  <w:proofErr w:type="gramEnd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ή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gratia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με γενική του γερουνδίου και 5. </w:t>
                  </w:r>
                  <w:proofErr w:type="gramStart"/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ad</w:t>
                  </w:r>
                  <w:proofErr w:type="gramEnd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με αιτιατική γερουνδίου), αλλά δεν αφορά την περίπτωση του εμπρόθετου γερουνδίου που συνοδεύεται με αντικείμενο σε αιτιατική, επειδή η </w:t>
                  </w:r>
                  <w:proofErr w:type="spellStart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γερουνδιακή</w:t>
                  </w:r>
                  <w:proofErr w:type="spellEnd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έλξη είναι εκτός εξεταστέας – διδακτέας ύλης.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Κειμ.38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κειμένων 37, 38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Κειμ.42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κειμένων 39, 40 (μόνο οι εναντιωματικές, αφαιρούνται οι παραχωρητικές)</w:t>
                  </w:r>
                </w:p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Συντακτικό κειμένου 41 (μόνο οι απλές παραβολικές, αφαιρούνται οι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υποθετικές παραβολικές)</w:t>
                  </w:r>
                </w:p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κειμένου 42</w:t>
                  </w:r>
                  <w:r w:rsidRPr="00026F0D">
                    <w:rPr>
                      <w:rFonts w:eastAsia="Calibri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Κειμ.43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κειμένου 43, εκτός από την παράγραφο 5 (διμελείς ερωτήσεις)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Κειμ.44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Συντακτικό κειμένου 44 [Εκτός από τις παραγράφους 2 και 3 (άλλοι τρόποι εισαγωγής πλάγιων ερωτήσεων)] </w:t>
                  </w:r>
                </w:p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Arial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 κειμένου 50 (Επισήμανση: διδάσκονται μόνο τα αντωνυμικά επίθετα που υπάρχουν στα κείμενα της διδακτέας-εξεταστέας ύλης)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Κειμ.45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κειμένων 45</w:t>
                  </w:r>
                </w:p>
              </w:tc>
            </w:tr>
          </w:tbl>
          <w:p w:rsidR="00E13A28" w:rsidRPr="00026F0D" w:rsidRDefault="00E13A28" w:rsidP="00E13A28">
            <w:pPr>
              <w:numPr>
                <w:ilvl w:val="0"/>
                <w:numId w:val="42"/>
              </w:num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026F0D">
              <w:rPr>
                <w:rFonts w:eastAsia="Calibri" w:cs="Times New Roman"/>
                <w:sz w:val="24"/>
                <w:szCs w:val="24"/>
              </w:rPr>
              <w:t xml:space="preserve">Σχετικά με τις δευτερεύουσες προτάσεις: Στις δευτερεύουσες εξαρτημένες προτάσεις διδάσκεται η θεωρία που περιέχεται στις οικείες ενότητες των σχολικών εγχειριδίων (εξάρτηση, εισαγωγή, εκφορά, συντακτική θέση). Επειδή ο πλάγιος λόγος έχει αφαιρεθεί από τη διδακτέα-εξεταστέα ύλη, δεν διδάσκεται </w:t>
            </w:r>
            <w:proofErr w:type="spellStart"/>
            <w:r w:rsidRPr="00026F0D">
              <w:rPr>
                <w:rFonts w:eastAsia="Calibri" w:cs="Times New Roman"/>
                <w:sz w:val="24"/>
                <w:szCs w:val="24"/>
              </w:rPr>
              <w:t>ό,τι</w:t>
            </w:r>
            <w:proofErr w:type="spellEnd"/>
            <w:r w:rsidRPr="00026F0D">
              <w:rPr>
                <w:rFonts w:eastAsia="Calibri" w:cs="Times New Roman"/>
                <w:sz w:val="24"/>
                <w:szCs w:val="24"/>
              </w:rPr>
              <w:t xml:space="preserve"> σχετίζεται με ασκήσεις μετατροπής από ευθύ σε πλάγιο λόγο και το αντίθετο.</w:t>
            </w:r>
          </w:p>
          <w:p w:rsidR="00E13A28" w:rsidRPr="00854035" w:rsidRDefault="00E13A28" w:rsidP="001569BF">
            <w:pPr>
              <w:numPr>
                <w:ilvl w:val="0"/>
                <w:numId w:val="42"/>
              </w:num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026F0D">
              <w:rPr>
                <w:rFonts w:eastAsia="Calibri" w:cs="Times New Roman"/>
                <w:sz w:val="24"/>
                <w:szCs w:val="24"/>
              </w:rPr>
              <w:t>Τα γραμματικά φαινόμενα διδάσκονται σύμφωνα με τη διδακτέα-εξεταστέα ύλη. Τα παραδείγματα και οι εφαρμογές σε ασκήσεις αφορούν μόνο τις λέξεις που απαντούν στα κείμενα που περιέχονται στη διδακτέα-εξεταστέα ύλη και των οποίων διδάσκεται και εξετάζεται η μετάφραση.</w:t>
            </w:r>
          </w:p>
        </w:tc>
        <w:tc>
          <w:tcPr>
            <w:tcW w:w="4253" w:type="dxa"/>
          </w:tcPr>
          <w:p w:rsidR="00E13A28" w:rsidRPr="00026F0D" w:rsidRDefault="00E13A28" w:rsidP="00E13A28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2699"/>
            </w:tblGrid>
            <w:tr w:rsidR="00E13A28" w:rsidRPr="00026F0D" w:rsidTr="0037032E">
              <w:trPr>
                <w:trHeight w:val="56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b/>
                      <w:bCs/>
                      <w:sz w:val="24"/>
                      <w:szCs w:val="24"/>
                    </w:rPr>
                    <w:t>ΚΕΙΜΕΝΑ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b/>
                      <w:bCs/>
                      <w:sz w:val="24"/>
                      <w:szCs w:val="24"/>
                    </w:rPr>
                    <w:t>ΓΡΑΜΜΑΤΙΚΗ &amp; ΣΥΝΤΑΚΤΙΚΟ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Κειμ.3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των κειμένων 1, 2, 3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Κειμ.5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των κειμένων 4, 5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Κειμ.6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κειμένου 6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Κειμ.7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κειμένου 7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Κειμ.11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 κειμένων 8, 9, 10, γραμματική-συντακτικό κειμένου 11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Κειμ.13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 κειμένου 12, γραμματική-συντακτικό κειμένου 13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Κειμ.14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κειμένου 14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Κειμ.15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 xml:space="preserve">Γραμματική-συντακτικό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κειμένου 15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Κειμ.20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Γραμματική κειμένου 16, γραμματική-συντακτικό κειμένων 17, 18 (εκτός από την παράγραφο 5 των παρατηρήσεων του κειμένου 18, δηλαδή την κλίση του ουσιαστικού </w:t>
                  </w:r>
                  <w:proofErr w:type="spellStart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bos</w:t>
                  </w:r>
                  <w:proofErr w:type="spellEnd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) </w:t>
                  </w:r>
                </w:p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Γραμματική-συντακτικό κειμένων 19, 20 (Επισήμανση: στην υποθετική-παραβολική πρόταση του κειμένου 20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quasi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moriturum</w:t>
                  </w:r>
                  <w:proofErr w:type="spellEnd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 να μη γίνει συντακτική προσέγγιση)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Κειμ.21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κειμένου 21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Κειμ.24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 κειμένου 22, γραμματική-συντακτικό κειμένων 23, 24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Κειμ.25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κειμένου 25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Κειμ.27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κειμένων 26, 27 [εκτός από την παράγραφο 4 των παρατηρήσεων του κειμένου 27 (αναφορική πρόταση σε πλάγιο λόγο)]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Κειμ.29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Γραμματική-συντακτικό κειμένου 28, συντακτικό κειμένου 29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Κειμ.31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κειμένων 30, 31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Κειμ.34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 &amp; συντακτικό κειμένων 32, 33, 34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Κειμ.36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Συντακτικό κειμένων 35, 36 και 49 (μόνο ο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προσδιορισμός του σκοπού)</w:t>
                  </w:r>
                </w:p>
                <w:p w:rsidR="00E13A28" w:rsidRPr="00026F0D" w:rsidRDefault="00E13A28" w:rsidP="0037032E">
                  <w:pPr>
                    <w:spacing w:after="0"/>
                    <w:jc w:val="both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b/>
                      <w:sz w:val="24"/>
                      <w:szCs w:val="24"/>
                      <w:u w:val="single"/>
                    </w:rPr>
                    <w:t>Επισήμανση: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Από τις παρατηρήσεις του κειμένου 49 διδάσκεται μόνο η ανακεφαλαίωση των προσδιορισμών του σκοπού. Η ύλη αφορά τις πέντε (5) αριθμητικώς αναφερόμενες στο σχολικό βιβλίο περιπτώσεις σκοπού μετά τα ρήματα κινήσεως σημαντικά (1. τελική πρόταση, 2. αναφορική-τελική πρόταση, 3. σουπίνο σε -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um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4. </w:t>
                  </w:r>
                  <w:proofErr w:type="spellStart"/>
                  <w:proofErr w:type="gramStart"/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causa</w:t>
                  </w:r>
                  <w:proofErr w:type="spellEnd"/>
                  <w:proofErr w:type="gramEnd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ή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gratia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με γενική του γερουνδίου και 5. </w:t>
                  </w:r>
                  <w:proofErr w:type="gramStart"/>
                  <w:r w:rsidRPr="00026F0D">
                    <w:rPr>
                      <w:rFonts w:eastAsia="Calibri" w:cs="Times New Roman"/>
                      <w:sz w:val="24"/>
                      <w:szCs w:val="24"/>
                      <w:lang w:val="en-US"/>
                    </w:rPr>
                    <w:t>ad</w:t>
                  </w:r>
                  <w:proofErr w:type="gramEnd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με αιτιατική γερουνδίου), αλλά δεν αφορά την περίπτωση του εμπρόθετου γερουνδίου που συνοδεύεται με αντικείμενο σε αιτιατική, επειδή η </w:t>
                  </w:r>
                  <w:proofErr w:type="spellStart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γερουνδιακή</w:t>
                  </w:r>
                  <w:proofErr w:type="spellEnd"/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 έλξη είναι εκτός εξεταστέας – διδακτέας ύλης.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Κειμ.38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κειμένων 37, 38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Κειμ.42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κειμένων 39, 40 (μόνο οι εναντιωματικές, αφαιρούνται οι παραχωρητικές)</w:t>
                  </w:r>
                </w:p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Συντακτικό κειμένου 41 (μόνο οι απλές παραβολικές, αφαιρούνται οι </w:t>
                  </w: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υποθετικές παραβολικές)</w:t>
                  </w:r>
                </w:p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κειμένου 42</w:t>
                  </w:r>
                  <w:r w:rsidRPr="00026F0D">
                    <w:rPr>
                      <w:rFonts w:eastAsia="Calibri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lastRenderedPageBreak/>
                    <w:t>Κειμ.43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κειμένου 43, εκτός από την παράγραφο 5 (διμελείς ερωτήσεις)</w:t>
                  </w:r>
                </w:p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Κειμ.44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 xml:space="preserve">Συντακτικό κειμένου 44 [Εκτός από τις παραγράφους 2 και 3 (άλλοι τρόποι εισαγωγής πλάγιων ερωτήσεων)] </w:t>
                  </w:r>
                </w:p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Arial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Γραμματική κειμένου 50 (Επισήμανση: διδάσκονται μόνο τα αντωνυμικά επίθετα που υπάρχουν στα κείμενα της διδακτέας-εξεταστέας ύλης)</w:t>
                  </w:r>
                </w:p>
              </w:tc>
            </w:tr>
            <w:tr w:rsidR="00E13A28" w:rsidRPr="00026F0D" w:rsidTr="0037032E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Κειμ.45 Μετάφραση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3A28" w:rsidRPr="00026F0D" w:rsidRDefault="00E13A28" w:rsidP="0037032E">
                  <w:pPr>
                    <w:spacing w:after="0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026F0D">
                    <w:rPr>
                      <w:rFonts w:eastAsia="Calibri" w:cs="Times New Roman"/>
                      <w:sz w:val="24"/>
                      <w:szCs w:val="24"/>
                    </w:rPr>
                    <w:t>Συντακτικό κειμένων 45</w:t>
                  </w:r>
                </w:p>
              </w:tc>
            </w:tr>
          </w:tbl>
          <w:p w:rsidR="00E13A28" w:rsidRPr="00026F0D" w:rsidRDefault="00E13A28" w:rsidP="00E13A28">
            <w:pPr>
              <w:numPr>
                <w:ilvl w:val="0"/>
                <w:numId w:val="43"/>
              </w:num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026F0D">
              <w:rPr>
                <w:rFonts w:eastAsia="Calibri" w:cs="Times New Roman"/>
                <w:sz w:val="24"/>
                <w:szCs w:val="24"/>
              </w:rPr>
              <w:t xml:space="preserve">Σχετικά με τις δευτερεύουσες προτάσεις: Στις δευτερεύουσες εξαρτημένες προτάσεις διδάσκεται η θεωρία που περιέχεται στις οικείες ενότητες των σχολικών εγχειριδίων (εξάρτηση, εισαγωγή, εκφορά, συντακτική θέση). Επειδή ο πλάγιος λόγος έχει αφαιρεθεί από τη διδακτέα-εξεταστέα ύλη, δεν διδάσκεται </w:t>
            </w:r>
            <w:proofErr w:type="spellStart"/>
            <w:r w:rsidRPr="00026F0D">
              <w:rPr>
                <w:rFonts w:eastAsia="Calibri" w:cs="Times New Roman"/>
                <w:sz w:val="24"/>
                <w:szCs w:val="24"/>
              </w:rPr>
              <w:t>ό,τι</w:t>
            </w:r>
            <w:proofErr w:type="spellEnd"/>
            <w:r w:rsidRPr="00026F0D">
              <w:rPr>
                <w:rFonts w:eastAsia="Calibri" w:cs="Times New Roman"/>
                <w:sz w:val="24"/>
                <w:szCs w:val="24"/>
              </w:rPr>
              <w:t xml:space="preserve"> σχετίζεται με ασκήσεις μετατροπής από ευθύ σε πλάγιο λόγο και το αντίθετο.</w:t>
            </w:r>
          </w:p>
          <w:p w:rsidR="00E13A28" w:rsidRPr="00026F0D" w:rsidRDefault="00E13A28" w:rsidP="00E13A28">
            <w:pPr>
              <w:numPr>
                <w:ilvl w:val="0"/>
                <w:numId w:val="43"/>
              </w:num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026F0D">
              <w:rPr>
                <w:rFonts w:eastAsia="Calibri" w:cs="Times New Roman"/>
                <w:sz w:val="24"/>
                <w:szCs w:val="24"/>
              </w:rPr>
              <w:t>Τα γραμματικά φαινόμενα διδάσκονται σύμφωνα με τη διδακτέα-εξεταστέα ύλη. Τα παραδείγματα και οι εφαρμογές σε ασκήσεις αφορούν μόνο τις λέξεις που απαντούν στα κείμενα που περιέχονται στη διδακτέα-εξεταστέα ύλη και των οποίων διδάσκεται και εξετάζεται η μετάφραση.</w:t>
            </w:r>
          </w:p>
          <w:p w:rsidR="00E13A28" w:rsidRPr="001569BF" w:rsidRDefault="00E13A28" w:rsidP="001569BF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</w:tbl>
    <w:p w:rsidR="001569BF" w:rsidRDefault="001569BF" w:rsidP="00310085">
      <w:pPr>
        <w:jc w:val="both"/>
        <w:rPr>
          <w:rFonts w:eastAsia="Calibri" w:cs="Times New Roman"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522"/>
      </w:tblGrid>
      <w:tr w:rsidR="001569BF" w:rsidTr="00234C4F">
        <w:tc>
          <w:tcPr>
            <w:tcW w:w="8522" w:type="dxa"/>
          </w:tcPr>
          <w:p w:rsidR="001569BF" w:rsidRDefault="001569BF" w:rsidP="001569BF">
            <w:pPr>
              <w:jc w:val="both"/>
              <w:rPr>
                <w:b/>
                <w:color w:val="5F497A" w:themeColor="accent4" w:themeShade="BF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1569BF">
              <w:rPr>
                <w:b/>
                <w:color w:val="5F497A" w:themeColor="accent4" w:themeShade="BF"/>
              </w:rPr>
              <w:t>ΣΗΜΑΝΤΙΚΕΣ ΕΠΙΣΗΜΑΝΣΕΙΣ (σχετικά με τη διδακτέα/εξεταστέα ύλη για το 2019-20):</w:t>
            </w:r>
          </w:p>
          <w:p w:rsidR="001569BF" w:rsidRPr="001569BF" w:rsidRDefault="001569BF" w:rsidP="001569BF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E13A28" w:rsidRPr="007D3619" w:rsidRDefault="00441E91" w:rsidP="00E13A28">
            <w:pPr>
              <w:pStyle w:val="a7"/>
              <w:numPr>
                <w:ilvl w:val="0"/>
                <w:numId w:val="41"/>
              </w:numPr>
              <w:jc w:val="both"/>
              <w:rPr>
                <w:b/>
                <w:color w:val="5F497A" w:themeColor="accent4" w:themeShade="BF"/>
              </w:rPr>
            </w:pPr>
            <w:r w:rsidRPr="007D3619">
              <w:rPr>
                <w:rFonts w:eastAsia="Calibri" w:cs="Times New Roman"/>
                <w:bCs/>
                <w:color w:val="660066"/>
              </w:rPr>
              <w:t xml:space="preserve">Το μάθημα των Λατινικών από μάθημα της Ομάδας Προσανατολισμού </w:t>
            </w:r>
            <w:r w:rsidR="007D3619" w:rsidRPr="007D3619">
              <w:rPr>
                <w:rFonts w:eastAsia="Calibri" w:cs="Times New Roman"/>
                <w:bCs/>
                <w:color w:val="660066"/>
              </w:rPr>
              <w:t xml:space="preserve">των </w:t>
            </w:r>
            <w:r w:rsidRPr="007D3619">
              <w:rPr>
                <w:rFonts w:eastAsia="Calibri" w:cs="Times New Roman"/>
                <w:bCs/>
                <w:color w:val="660066"/>
              </w:rPr>
              <w:t xml:space="preserve">Ανθρωπιστικών Επιστημών το οποίο διδασκόταν 3 ΔΩ το 2018-19, είναι από το σχολικό έτος 2019-20 μάθημα επιλογής και διδάσκεται 2 ΔΩ. </w:t>
            </w:r>
          </w:p>
          <w:p w:rsidR="00441E91" w:rsidRPr="007D3619" w:rsidRDefault="00E13A28" w:rsidP="00E13A28">
            <w:pPr>
              <w:pStyle w:val="a7"/>
              <w:numPr>
                <w:ilvl w:val="0"/>
                <w:numId w:val="41"/>
              </w:numPr>
              <w:jc w:val="both"/>
              <w:rPr>
                <w:b/>
                <w:color w:val="5F497A" w:themeColor="accent4" w:themeShade="BF"/>
              </w:rPr>
            </w:pPr>
            <w:r w:rsidRPr="007D3619">
              <w:rPr>
                <w:rFonts w:eastAsia="Calibri" w:cs="Times New Roman"/>
                <w:bCs/>
                <w:color w:val="660066"/>
              </w:rPr>
              <w:t>Η διδακτέα/εξεταστέα ύλη των Λατινικών για το 2019-2020 παραμένει η ίδια με το 2018-2019.</w:t>
            </w:r>
          </w:p>
          <w:p w:rsidR="00E13A28" w:rsidRPr="001569BF" w:rsidRDefault="00E13A28" w:rsidP="007D3619">
            <w:pPr>
              <w:pStyle w:val="a7"/>
              <w:jc w:val="both"/>
              <w:rPr>
                <w:b/>
                <w:color w:val="5F497A" w:themeColor="accent4" w:themeShade="BF"/>
              </w:rPr>
            </w:pPr>
          </w:p>
        </w:tc>
      </w:tr>
    </w:tbl>
    <w:p w:rsidR="00B17B8F" w:rsidRPr="001569BF" w:rsidRDefault="00B17B8F" w:rsidP="001569BF">
      <w:pPr>
        <w:rPr>
          <w:b/>
          <w:color w:val="5F497A" w:themeColor="accent4" w:themeShade="BF"/>
          <w:sz w:val="24"/>
          <w:szCs w:val="24"/>
        </w:rPr>
      </w:pPr>
    </w:p>
    <w:sectPr w:rsidR="00B17B8F" w:rsidRPr="001569BF" w:rsidSect="001664C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540" w:rsidRDefault="008C7540" w:rsidP="006C3DFC">
      <w:pPr>
        <w:spacing w:after="0" w:line="240" w:lineRule="auto"/>
      </w:pPr>
      <w:r>
        <w:separator/>
      </w:r>
    </w:p>
  </w:endnote>
  <w:endnote w:type="continuationSeparator" w:id="0">
    <w:p w:rsidR="008C7540" w:rsidRDefault="008C7540" w:rsidP="006C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0179"/>
      <w:docPartObj>
        <w:docPartGallery w:val="Page Numbers (Bottom of Page)"/>
        <w:docPartUnique/>
      </w:docPartObj>
    </w:sdtPr>
    <w:sdtContent>
      <w:p w:rsidR="001569BF" w:rsidRDefault="00255355">
        <w:pPr>
          <w:pStyle w:val="a4"/>
          <w:jc w:val="center"/>
        </w:pPr>
        <w:r>
          <w:fldChar w:fldCharType="begin"/>
        </w:r>
        <w:r w:rsidR="001569BF">
          <w:instrText xml:space="preserve"> PAGE   \* MERGEFORMAT </w:instrText>
        </w:r>
        <w:r>
          <w:fldChar w:fldCharType="separate"/>
        </w:r>
        <w:r w:rsidR="00793D9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569BF" w:rsidRDefault="001569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540" w:rsidRDefault="008C7540" w:rsidP="006C3DFC">
      <w:pPr>
        <w:spacing w:after="0" w:line="240" w:lineRule="auto"/>
      </w:pPr>
      <w:r>
        <w:separator/>
      </w:r>
    </w:p>
  </w:footnote>
  <w:footnote w:type="continuationSeparator" w:id="0">
    <w:p w:rsidR="008C7540" w:rsidRDefault="008C7540" w:rsidP="006C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BF" w:rsidRPr="004366BA" w:rsidRDefault="001569BF" w:rsidP="009F6ADF">
    <w:pPr>
      <w:pStyle w:val="a3"/>
      <w:rPr>
        <w:u w:val="single"/>
      </w:rPr>
    </w:pPr>
    <w:r w:rsidRPr="004366BA">
      <w:rPr>
        <w:u w:val="single"/>
      </w:rPr>
      <w:t>ΣΥΓΚΡΙΣΗ ΥΛΗΣ 2018-19, 2019-20, Γ ΗΜΕΡΗΣΙΟΥ ΓΕΛ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38B"/>
    <w:multiLevelType w:val="hybridMultilevel"/>
    <w:tmpl w:val="926E2C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C393F"/>
    <w:multiLevelType w:val="hybridMultilevel"/>
    <w:tmpl w:val="A9C2F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7E1B"/>
    <w:multiLevelType w:val="multilevel"/>
    <w:tmpl w:val="6240B83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E71360"/>
    <w:multiLevelType w:val="hybridMultilevel"/>
    <w:tmpl w:val="DE587B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E64CD"/>
    <w:multiLevelType w:val="hybridMultilevel"/>
    <w:tmpl w:val="BF3A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3D2311"/>
    <w:multiLevelType w:val="hybridMultilevel"/>
    <w:tmpl w:val="4686CE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C086E"/>
    <w:multiLevelType w:val="hybridMultilevel"/>
    <w:tmpl w:val="2CE2582A"/>
    <w:lvl w:ilvl="0" w:tplc="0408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0C3B52F9"/>
    <w:multiLevelType w:val="hybridMultilevel"/>
    <w:tmpl w:val="C83E8026"/>
    <w:lvl w:ilvl="0" w:tplc="5D94661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3274A"/>
    <w:multiLevelType w:val="hybridMultilevel"/>
    <w:tmpl w:val="0D085CCA"/>
    <w:lvl w:ilvl="0" w:tplc="2C2603F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45519C"/>
    <w:multiLevelType w:val="hybridMultilevel"/>
    <w:tmpl w:val="4AAE4ED8"/>
    <w:lvl w:ilvl="0" w:tplc="0408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>
    <w:nsid w:val="16450B38"/>
    <w:multiLevelType w:val="hybridMultilevel"/>
    <w:tmpl w:val="D240A064"/>
    <w:lvl w:ilvl="0" w:tplc="6832A4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81791"/>
    <w:multiLevelType w:val="multilevel"/>
    <w:tmpl w:val="8408B91C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  <w:sz w:val="24"/>
      </w:rPr>
    </w:lvl>
  </w:abstractNum>
  <w:abstractNum w:abstractNumId="12">
    <w:nsid w:val="17541CB8"/>
    <w:multiLevelType w:val="hybridMultilevel"/>
    <w:tmpl w:val="D09EE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36C1D"/>
    <w:multiLevelType w:val="hybridMultilevel"/>
    <w:tmpl w:val="E1729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A7367"/>
    <w:multiLevelType w:val="hybridMultilevel"/>
    <w:tmpl w:val="16703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B6527"/>
    <w:multiLevelType w:val="hybridMultilevel"/>
    <w:tmpl w:val="91FE5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204B8"/>
    <w:multiLevelType w:val="hybridMultilevel"/>
    <w:tmpl w:val="E1729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11D12"/>
    <w:multiLevelType w:val="hybridMultilevel"/>
    <w:tmpl w:val="07F0C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B788C"/>
    <w:multiLevelType w:val="hybridMultilevel"/>
    <w:tmpl w:val="D12284CA"/>
    <w:lvl w:ilvl="0" w:tplc="6832A44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002875"/>
    <w:multiLevelType w:val="hybridMultilevel"/>
    <w:tmpl w:val="90F6C656"/>
    <w:lvl w:ilvl="0" w:tplc="0408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0">
    <w:nsid w:val="3B08693D"/>
    <w:multiLevelType w:val="hybridMultilevel"/>
    <w:tmpl w:val="2B18B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474FF"/>
    <w:multiLevelType w:val="hybridMultilevel"/>
    <w:tmpl w:val="427A9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D1509"/>
    <w:multiLevelType w:val="hybridMultilevel"/>
    <w:tmpl w:val="51A0D61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257737"/>
    <w:multiLevelType w:val="multilevel"/>
    <w:tmpl w:val="B010E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4EF4006"/>
    <w:multiLevelType w:val="hybridMultilevel"/>
    <w:tmpl w:val="CE7634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63026A"/>
    <w:multiLevelType w:val="hybridMultilevel"/>
    <w:tmpl w:val="71B83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B31D1"/>
    <w:multiLevelType w:val="hybridMultilevel"/>
    <w:tmpl w:val="3DA66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5494E"/>
    <w:multiLevelType w:val="hybridMultilevel"/>
    <w:tmpl w:val="26CEF85C"/>
    <w:lvl w:ilvl="0" w:tplc="8B90A5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702D8"/>
    <w:multiLevelType w:val="hybridMultilevel"/>
    <w:tmpl w:val="B170AE2E"/>
    <w:lvl w:ilvl="0" w:tplc="51A48D0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B032D"/>
    <w:multiLevelType w:val="hybridMultilevel"/>
    <w:tmpl w:val="EFBE16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6D9097D"/>
    <w:multiLevelType w:val="hybridMultilevel"/>
    <w:tmpl w:val="A888EF46"/>
    <w:lvl w:ilvl="0" w:tplc="1854B49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F4BED"/>
    <w:multiLevelType w:val="hybridMultilevel"/>
    <w:tmpl w:val="2D1602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BA659D"/>
    <w:multiLevelType w:val="hybridMultilevel"/>
    <w:tmpl w:val="0332EAA2"/>
    <w:lvl w:ilvl="0" w:tplc="0408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>
    <w:nsid w:val="5DFF4908"/>
    <w:multiLevelType w:val="hybridMultilevel"/>
    <w:tmpl w:val="E37CA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5197C"/>
    <w:multiLevelType w:val="hybridMultilevel"/>
    <w:tmpl w:val="6F9C2C8E"/>
    <w:lvl w:ilvl="0" w:tplc="8D72B62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D035F"/>
    <w:multiLevelType w:val="multilevel"/>
    <w:tmpl w:val="3410A612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36">
    <w:nsid w:val="67671CBE"/>
    <w:multiLevelType w:val="hybridMultilevel"/>
    <w:tmpl w:val="CDC8EB5A"/>
    <w:lvl w:ilvl="0" w:tplc="E9DEB148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57527"/>
    <w:multiLevelType w:val="hybridMultilevel"/>
    <w:tmpl w:val="63BA6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114FF3"/>
    <w:multiLevelType w:val="multilevel"/>
    <w:tmpl w:val="A4B8B6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9">
    <w:nsid w:val="765D248D"/>
    <w:multiLevelType w:val="hybridMultilevel"/>
    <w:tmpl w:val="D8E8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9"/>
  </w:num>
  <w:num w:numId="8">
    <w:abstractNumId w:val="33"/>
  </w:num>
  <w:num w:numId="9">
    <w:abstractNumId w:val="32"/>
  </w:num>
  <w:num w:numId="10">
    <w:abstractNumId w:val="28"/>
  </w:num>
  <w:num w:numId="11">
    <w:abstractNumId w:val="21"/>
  </w:num>
  <w:num w:numId="12">
    <w:abstractNumId w:val="29"/>
  </w:num>
  <w:num w:numId="13">
    <w:abstractNumId w:val="15"/>
  </w:num>
  <w:num w:numId="14">
    <w:abstractNumId w:val="11"/>
  </w:num>
  <w:num w:numId="15">
    <w:abstractNumId w:val="38"/>
  </w:num>
  <w:num w:numId="16">
    <w:abstractNumId w:val="35"/>
  </w:num>
  <w:num w:numId="17">
    <w:abstractNumId w:val="2"/>
  </w:num>
  <w:num w:numId="18">
    <w:abstractNumId w:val="23"/>
  </w:num>
  <w:num w:numId="19">
    <w:abstractNumId w:val="1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6"/>
  </w:num>
  <w:num w:numId="25">
    <w:abstractNumId w:val="17"/>
  </w:num>
  <w:num w:numId="26">
    <w:abstractNumId w:val="12"/>
  </w:num>
  <w:num w:numId="27">
    <w:abstractNumId w:val="14"/>
  </w:num>
  <w:num w:numId="28">
    <w:abstractNumId w:val="7"/>
  </w:num>
  <w:num w:numId="29">
    <w:abstractNumId w:val="27"/>
  </w:num>
  <w:num w:numId="30">
    <w:abstractNumId w:val="26"/>
  </w:num>
  <w:num w:numId="31">
    <w:abstractNumId w:val="22"/>
  </w:num>
  <w:num w:numId="32">
    <w:abstractNumId w:val="25"/>
  </w:num>
  <w:num w:numId="33">
    <w:abstractNumId w:val="10"/>
  </w:num>
  <w:num w:numId="34">
    <w:abstractNumId w:val="18"/>
  </w:num>
  <w:num w:numId="35">
    <w:abstractNumId w:val="24"/>
  </w:num>
  <w:num w:numId="36">
    <w:abstractNumId w:val="37"/>
  </w:num>
  <w:num w:numId="37">
    <w:abstractNumId w:val="8"/>
  </w:num>
  <w:num w:numId="38">
    <w:abstractNumId w:val="31"/>
  </w:num>
  <w:num w:numId="39">
    <w:abstractNumId w:val="3"/>
  </w:num>
  <w:num w:numId="40">
    <w:abstractNumId w:val="4"/>
  </w:num>
  <w:num w:numId="41">
    <w:abstractNumId w:val="39"/>
  </w:num>
  <w:num w:numId="42">
    <w:abstractNumId w:val="16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DFC"/>
    <w:rsid w:val="00012968"/>
    <w:rsid w:val="0007395B"/>
    <w:rsid w:val="000925DA"/>
    <w:rsid w:val="000A2B84"/>
    <w:rsid w:val="000B4FD8"/>
    <w:rsid w:val="000D0010"/>
    <w:rsid w:val="000D67DC"/>
    <w:rsid w:val="001052D0"/>
    <w:rsid w:val="00121BF1"/>
    <w:rsid w:val="001569BF"/>
    <w:rsid w:val="001664CA"/>
    <w:rsid w:val="0017605B"/>
    <w:rsid w:val="001B0BF0"/>
    <w:rsid w:val="001C2CB0"/>
    <w:rsid w:val="001F1EFC"/>
    <w:rsid w:val="0023049E"/>
    <w:rsid w:val="00230DF0"/>
    <w:rsid w:val="00231ABF"/>
    <w:rsid w:val="00234C4F"/>
    <w:rsid w:val="00240785"/>
    <w:rsid w:val="0024367E"/>
    <w:rsid w:val="002550E4"/>
    <w:rsid w:val="00255355"/>
    <w:rsid w:val="00261803"/>
    <w:rsid w:val="00266667"/>
    <w:rsid w:val="002753B4"/>
    <w:rsid w:val="00277A1D"/>
    <w:rsid w:val="00281C44"/>
    <w:rsid w:val="002836F6"/>
    <w:rsid w:val="00294CD3"/>
    <w:rsid w:val="002A56BF"/>
    <w:rsid w:val="002B0670"/>
    <w:rsid w:val="002B16BA"/>
    <w:rsid w:val="002C4D21"/>
    <w:rsid w:val="002D0BDB"/>
    <w:rsid w:val="002E186C"/>
    <w:rsid w:val="002E5536"/>
    <w:rsid w:val="002F1883"/>
    <w:rsid w:val="00310085"/>
    <w:rsid w:val="00353E6E"/>
    <w:rsid w:val="00354D79"/>
    <w:rsid w:val="0036608E"/>
    <w:rsid w:val="00370685"/>
    <w:rsid w:val="00384698"/>
    <w:rsid w:val="00385283"/>
    <w:rsid w:val="003B2054"/>
    <w:rsid w:val="004174F4"/>
    <w:rsid w:val="004328CC"/>
    <w:rsid w:val="004366BA"/>
    <w:rsid w:val="00441E91"/>
    <w:rsid w:val="0047056D"/>
    <w:rsid w:val="004730FA"/>
    <w:rsid w:val="00482A91"/>
    <w:rsid w:val="004A74EE"/>
    <w:rsid w:val="004B13D5"/>
    <w:rsid w:val="004B55FD"/>
    <w:rsid w:val="004D26FA"/>
    <w:rsid w:val="004D2F73"/>
    <w:rsid w:val="004D7029"/>
    <w:rsid w:val="004E467C"/>
    <w:rsid w:val="004E6D55"/>
    <w:rsid w:val="004F4C81"/>
    <w:rsid w:val="0050211D"/>
    <w:rsid w:val="005111E7"/>
    <w:rsid w:val="005233D1"/>
    <w:rsid w:val="00580523"/>
    <w:rsid w:val="0058127C"/>
    <w:rsid w:val="0058659B"/>
    <w:rsid w:val="005F7D2D"/>
    <w:rsid w:val="00637163"/>
    <w:rsid w:val="006662AF"/>
    <w:rsid w:val="00690116"/>
    <w:rsid w:val="0069193A"/>
    <w:rsid w:val="00693F13"/>
    <w:rsid w:val="006C16E5"/>
    <w:rsid w:val="006C3DFC"/>
    <w:rsid w:val="006C5E14"/>
    <w:rsid w:val="006D419A"/>
    <w:rsid w:val="006E1850"/>
    <w:rsid w:val="006F0F92"/>
    <w:rsid w:val="00703A54"/>
    <w:rsid w:val="007069E5"/>
    <w:rsid w:val="00707A44"/>
    <w:rsid w:val="00721EA6"/>
    <w:rsid w:val="00734F39"/>
    <w:rsid w:val="00735976"/>
    <w:rsid w:val="00766ADA"/>
    <w:rsid w:val="0078374A"/>
    <w:rsid w:val="00793D90"/>
    <w:rsid w:val="007B19FD"/>
    <w:rsid w:val="007B7B4B"/>
    <w:rsid w:val="007D3619"/>
    <w:rsid w:val="007E0A24"/>
    <w:rsid w:val="007F58A2"/>
    <w:rsid w:val="00805263"/>
    <w:rsid w:val="008059E0"/>
    <w:rsid w:val="00831B64"/>
    <w:rsid w:val="008342E6"/>
    <w:rsid w:val="00837439"/>
    <w:rsid w:val="00854035"/>
    <w:rsid w:val="0085516D"/>
    <w:rsid w:val="00870247"/>
    <w:rsid w:val="008B2172"/>
    <w:rsid w:val="008C6B04"/>
    <w:rsid w:val="008C7540"/>
    <w:rsid w:val="008D3FC9"/>
    <w:rsid w:val="008E4437"/>
    <w:rsid w:val="00936BF3"/>
    <w:rsid w:val="00941B0E"/>
    <w:rsid w:val="00942404"/>
    <w:rsid w:val="00944D10"/>
    <w:rsid w:val="00945806"/>
    <w:rsid w:val="00952285"/>
    <w:rsid w:val="00973647"/>
    <w:rsid w:val="009776D3"/>
    <w:rsid w:val="009B2848"/>
    <w:rsid w:val="009B307A"/>
    <w:rsid w:val="009C25F5"/>
    <w:rsid w:val="009C7EF3"/>
    <w:rsid w:val="009F43C5"/>
    <w:rsid w:val="009F6ADF"/>
    <w:rsid w:val="00A1469B"/>
    <w:rsid w:val="00A4478C"/>
    <w:rsid w:val="00A760FD"/>
    <w:rsid w:val="00A76A43"/>
    <w:rsid w:val="00A801E3"/>
    <w:rsid w:val="00A9068E"/>
    <w:rsid w:val="00A918C8"/>
    <w:rsid w:val="00AB06E6"/>
    <w:rsid w:val="00AB4519"/>
    <w:rsid w:val="00AD1302"/>
    <w:rsid w:val="00AD22AF"/>
    <w:rsid w:val="00AF36E5"/>
    <w:rsid w:val="00AF62B3"/>
    <w:rsid w:val="00B00508"/>
    <w:rsid w:val="00B164D8"/>
    <w:rsid w:val="00B17B8F"/>
    <w:rsid w:val="00B41B29"/>
    <w:rsid w:val="00B44D8A"/>
    <w:rsid w:val="00B5018B"/>
    <w:rsid w:val="00BC2E66"/>
    <w:rsid w:val="00C0417F"/>
    <w:rsid w:val="00C05E7D"/>
    <w:rsid w:val="00C07590"/>
    <w:rsid w:val="00C34ADD"/>
    <w:rsid w:val="00C4172F"/>
    <w:rsid w:val="00C46650"/>
    <w:rsid w:val="00C57322"/>
    <w:rsid w:val="00C6095D"/>
    <w:rsid w:val="00C66E4C"/>
    <w:rsid w:val="00C67AFB"/>
    <w:rsid w:val="00C84BF8"/>
    <w:rsid w:val="00CA731E"/>
    <w:rsid w:val="00CD6E3C"/>
    <w:rsid w:val="00CE229E"/>
    <w:rsid w:val="00CF5F8D"/>
    <w:rsid w:val="00CF676D"/>
    <w:rsid w:val="00D11673"/>
    <w:rsid w:val="00D11E5F"/>
    <w:rsid w:val="00D1607F"/>
    <w:rsid w:val="00D2454D"/>
    <w:rsid w:val="00D37B44"/>
    <w:rsid w:val="00D47951"/>
    <w:rsid w:val="00D60195"/>
    <w:rsid w:val="00DA3C85"/>
    <w:rsid w:val="00DC1A84"/>
    <w:rsid w:val="00DE287E"/>
    <w:rsid w:val="00DE59A4"/>
    <w:rsid w:val="00DF2CE3"/>
    <w:rsid w:val="00E13A28"/>
    <w:rsid w:val="00E25CB5"/>
    <w:rsid w:val="00E9294F"/>
    <w:rsid w:val="00EB4FD0"/>
    <w:rsid w:val="00EC50AD"/>
    <w:rsid w:val="00ED3D6D"/>
    <w:rsid w:val="00ED4A06"/>
    <w:rsid w:val="00ED4FA3"/>
    <w:rsid w:val="00EF7526"/>
    <w:rsid w:val="00EF7F9E"/>
    <w:rsid w:val="00F14523"/>
    <w:rsid w:val="00F55549"/>
    <w:rsid w:val="00F56AE9"/>
    <w:rsid w:val="00F65A40"/>
    <w:rsid w:val="00F81EFE"/>
    <w:rsid w:val="00FB2FDF"/>
    <w:rsid w:val="00FD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3DFC"/>
  </w:style>
  <w:style w:type="paragraph" w:styleId="a4">
    <w:name w:val="footer"/>
    <w:basedOn w:val="a"/>
    <w:link w:val="Char0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3DFC"/>
  </w:style>
  <w:style w:type="table" w:styleId="a5">
    <w:name w:val="Table Grid"/>
    <w:basedOn w:val="a1"/>
    <w:uiPriority w:val="59"/>
    <w:rsid w:val="00F1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81C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66B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C4D21"/>
    <w:rPr>
      <w:color w:val="0000FF" w:themeColor="hyperlink"/>
      <w:u w:val="single"/>
    </w:rPr>
  </w:style>
  <w:style w:type="paragraph" w:styleId="a8">
    <w:name w:val="footnote text"/>
    <w:basedOn w:val="a"/>
    <w:link w:val="Char2"/>
    <w:uiPriority w:val="99"/>
    <w:semiHidden/>
    <w:unhideWhenUsed/>
    <w:rsid w:val="00A918C8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A918C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91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2853D-0AF5-4021-A8EF-E7FFC205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schronopoulou</dc:creator>
  <cp:lastModifiedBy>gkandri</cp:lastModifiedBy>
  <cp:revision>2</cp:revision>
  <cp:lastPrinted>2019-04-09T09:52:00Z</cp:lastPrinted>
  <dcterms:created xsi:type="dcterms:W3CDTF">2019-05-31T09:15:00Z</dcterms:created>
  <dcterms:modified xsi:type="dcterms:W3CDTF">2019-05-31T09:15:00Z</dcterms:modified>
</cp:coreProperties>
</file>